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EF" w:rsidRDefault="007C66EF" w:rsidP="007C66EF">
      <w:pPr>
        <w:widowControl w:val="0"/>
        <w:suppressAutoHyphens/>
        <w:spacing w:after="0" w:line="240" w:lineRule="auto"/>
        <w:outlineLvl w:val="1"/>
        <w:rPr>
          <w:rFonts w:ascii="Times New Roman" w:hAnsi="Times New Roman" w:cs="Times New Roman"/>
          <w:b/>
          <w:sz w:val="23"/>
          <w:szCs w:val="23"/>
        </w:rPr>
      </w:pPr>
    </w:p>
    <w:p w:rsidR="007C66EF" w:rsidRDefault="007C66EF" w:rsidP="007C66EF">
      <w:pPr>
        <w:widowControl w:val="0"/>
        <w:suppressAutoHyphens/>
        <w:spacing w:after="0" w:line="240" w:lineRule="auto"/>
        <w:outlineLvl w:val="1"/>
        <w:rPr>
          <w:rFonts w:ascii="Times New Roman" w:hAnsi="Times New Roman" w:cs="Times New Roman"/>
          <w:b/>
          <w:sz w:val="23"/>
          <w:szCs w:val="23"/>
        </w:rPr>
      </w:pPr>
    </w:p>
    <w:p w:rsidR="007C66EF" w:rsidRDefault="007C66EF" w:rsidP="007C66EF">
      <w:pPr>
        <w:widowControl w:val="0"/>
        <w:suppressAutoHyphens/>
        <w:spacing w:after="0" w:line="240" w:lineRule="auto"/>
        <w:outlineLvl w:val="1"/>
        <w:rPr>
          <w:rFonts w:ascii="Times New Roman" w:hAnsi="Times New Roman" w:cs="Times New Roman"/>
          <w:b/>
          <w:sz w:val="23"/>
          <w:szCs w:val="23"/>
        </w:rPr>
      </w:pPr>
    </w:p>
    <w:p w:rsidR="007C66EF" w:rsidRDefault="007C66EF" w:rsidP="007C66EF">
      <w:pPr>
        <w:widowControl w:val="0"/>
        <w:suppressAutoHyphens/>
        <w:spacing w:after="0" w:line="240" w:lineRule="auto"/>
        <w:outlineLvl w:val="1"/>
        <w:rPr>
          <w:rFonts w:ascii="Times New Roman" w:hAnsi="Times New Roman" w:cs="Times New Roman"/>
          <w:b/>
          <w:sz w:val="23"/>
          <w:szCs w:val="23"/>
        </w:rPr>
      </w:pPr>
    </w:p>
    <w:tbl>
      <w:tblPr>
        <w:tblW w:w="0" w:type="auto"/>
        <w:tblLook w:val="04A0" w:firstRow="1" w:lastRow="0" w:firstColumn="1" w:lastColumn="0" w:noHBand="0" w:noVBand="1"/>
      </w:tblPr>
      <w:tblGrid>
        <w:gridCol w:w="4953"/>
        <w:gridCol w:w="4402"/>
      </w:tblGrid>
      <w:tr w:rsidR="007C66EF" w:rsidRPr="002925F6" w:rsidTr="0041579D">
        <w:tc>
          <w:tcPr>
            <w:tcW w:w="5495" w:type="dxa"/>
          </w:tcPr>
          <w:p w:rsidR="007C66EF" w:rsidRPr="002925F6" w:rsidRDefault="007C66EF" w:rsidP="0041579D">
            <w:pPr>
              <w:widowControl w:val="0"/>
              <w:suppressAutoHyphens/>
              <w:spacing w:after="0" w:line="240" w:lineRule="auto"/>
              <w:jc w:val="both"/>
              <w:rPr>
                <w:rFonts w:ascii="Times New Roman" w:hAnsi="Times New Roman" w:cs="Times New Roman"/>
              </w:rPr>
            </w:pPr>
          </w:p>
        </w:tc>
        <w:tc>
          <w:tcPr>
            <w:tcW w:w="4642" w:type="dxa"/>
          </w:tcPr>
          <w:p w:rsidR="007C66EF" w:rsidRPr="002925F6" w:rsidRDefault="007C66EF" w:rsidP="0041579D">
            <w:pPr>
              <w:widowControl w:val="0"/>
              <w:suppressAutoHyphens/>
              <w:spacing w:after="0" w:line="240" w:lineRule="auto"/>
              <w:rPr>
                <w:rFonts w:ascii="Times New Roman" w:hAnsi="Times New Roman" w:cs="Times New Roman"/>
              </w:rPr>
            </w:pPr>
            <w:r w:rsidRPr="002925F6">
              <w:rPr>
                <w:rFonts w:ascii="Times New Roman" w:hAnsi="Times New Roman" w:cs="Times New Roman"/>
              </w:rPr>
              <w:t>Приложение № 2</w:t>
            </w:r>
          </w:p>
          <w:p w:rsidR="007C66EF" w:rsidRPr="002925F6" w:rsidRDefault="007C66EF" w:rsidP="0041579D">
            <w:pPr>
              <w:widowControl w:val="0"/>
              <w:suppressAutoHyphens/>
              <w:spacing w:after="0" w:line="240" w:lineRule="auto"/>
              <w:rPr>
                <w:rFonts w:ascii="Times New Roman" w:hAnsi="Times New Roman" w:cs="Times New Roman"/>
              </w:rPr>
            </w:pPr>
            <w:r w:rsidRPr="002925F6">
              <w:rPr>
                <w:rFonts w:ascii="Times New Roman" w:hAnsi="Times New Roman" w:cs="Times New Roman"/>
              </w:rPr>
              <w:t>к проекту муниципального контракта</w:t>
            </w:r>
          </w:p>
          <w:p w:rsidR="007C66EF" w:rsidRPr="002925F6" w:rsidRDefault="007C66EF" w:rsidP="0041579D">
            <w:pPr>
              <w:widowControl w:val="0"/>
              <w:suppressAutoHyphens/>
              <w:spacing w:after="0" w:line="240" w:lineRule="auto"/>
              <w:rPr>
                <w:rFonts w:ascii="Times New Roman" w:hAnsi="Times New Roman" w:cs="Times New Roman"/>
              </w:rPr>
            </w:pPr>
            <w:r w:rsidRPr="002925F6">
              <w:rPr>
                <w:rFonts w:ascii="Times New Roman" w:hAnsi="Times New Roman" w:cs="Times New Roman"/>
              </w:rPr>
              <w:t>от «____»_________2023 г. №____________</w:t>
            </w:r>
          </w:p>
        </w:tc>
      </w:tr>
    </w:tbl>
    <w:p w:rsidR="007C66EF" w:rsidRPr="002925F6" w:rsidRDefault="007C66EF" w:rsidP="007C66EF">
      <w:pPr>
        <w:widowControl w:val="0"/>
        <w:suppressAutoHyphens/>
        <w:spacing w:after="0" w:line="240" w:lineRule="auto"/>
        <w:rPr>
          <w:rFonts w:ascii="Times New Roman" w:hAnsi="Times New Roman" w:cs="Times New Roman"/>
          <w:b/>
        </w:rPr>
      </w:pPr>
      <w:bookmarkStart w:id="0" w:name="P389"/>
      <w:bookmarkEnd w:id="0"/>
    </w:p>
    <w:p w:rsidR="007C66EF" w:rsidRPr="002925F6" w:rsidRDefault="007C66EF" w:rsidP="007C66EF">
      <w:pPr>
        <w:widowControl w:val="0"/>
        <w:suppressAutoHyphens/>
        <w:spacing w:after="0" w:line="240" w:lineRule="auto"/>
        <w:jc w:val="center"/>
        <w:rPr>
          <w:rFonts w:ascii="Times New Roman" w:hAnsi="Times New Roman" w:cs="Times New Roman"/>
          <w:b/>
        </w:rPr>
      </w:pPr>
      <w:r w:rsidRPr="002925F6">
        <w:rPr>
          <w:rFonts w:ascii="Times New Roman" w:hAnsi="Times New Roman" w:cs="Times New Roman"/>
          <w:b/>
        </w:rPr>
        <w:t xml:space="preserve">ТЕХНИЧЕСКОЕ ЗАДАНИЕ </w:t>
      </w:r>
    </w:p>
    <w:p w:rsidR="007C66EF" w:rsidRDefault="007C66EF" w:rsidP="007C66EF">
      <w:pPr>
        <w:widowControl w:val="0"/>
        <w:suppressAutoHyphens/>
        <w:spacing w:after="0" w:line="240" w:lineRule="auto"/>
        <w:outlineLvl w:val="1"/>
        <w:rPr>
          <w:rFonts w:ascii="Times New Roman" w:eastAsia="Times New Roman" w:hAnsi="Times New Roman" w:cs="Times New Roman"/>
          <w:b/>
          <w:spacing w:val="-3"/>
          <w:sz w:val="23"/>
          <w:szCs w:val="23"/>
        </w:rPr>
      </w:pPr>
    </w:p>
    <w:tbl>
      <w:tblPr>
        <w:tblStyle w:val="a3"/>
        <w:tblW w:w="5000" w:type="pct"/>
        <w:tblLook w:val="04A0" w:firstRow="1" w:lastRow="0" w:firstColumn="1" w:lastColumn="0" w:noHBand="0" w:noVBand="1"/>
      </w:tblPr>
      <w:tblGrid>
        <w:gridCol w:w="486"/>
        <w:gridCol w:w="1465"/>
        <w:gridCol w:w="579"/>
        <w:gridCol w:w="616"/>
        <w:gridCol w:w="1554"/>
        <w:gridCol w:w="1671"/>
        <w:gridCol w:w="2974"/>
      </w:tblGrid>
      <w:tr w:rsidR="007C66EF" w:rsidRPr="00A236FD" w:rsidTr="0041579D">
        <w:trPr>
          <w:trHeight w:val="1371"/>
        </w:trPr>
        <w:tc>
          <w:tcPr>
            <w:tcW w:w="240" w:type="pc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 п/п</w:t>
            </w:r>
          </w:p>
        </w:tc>
        <w:tc>
          <w:tcPr>
            <w:tcW w:w="817" w:type="pc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 xml:space="preserve">Наименование </w:t>
            </w:r>
            <w:r>
              <w:rPr>
                <w:rFonts w:ascii="Times New Roman" w:hAnsi="Times New Roman"/>
                <w:sz w:val="20"/>
                <w:szCs w:val="20"/>
              </w:rPr>
              <w:t>товара</w:t>
            </w:r>
          </w:p>
        </w:tc>
        <w:tc>
          <w:tcPr>
            <w:tcW w:w="296" w:type="pc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Ед. изм.</w:t>
            </w:r>
          </w:p>
        </w:tc>
        <w:tc>
          <w:tcPr>
            <w:tcW w:w="304" w:type="pc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Кол-во</w:t>
            </w:r>
          </w:p>
        </w:tc>
        <w:tc>
          <w:tcPr>
            <w:tcW w:w="766" w:type="pct"/>
          </w:tcPr>
          <w:p w:rsidR="007C66EF" w:rsidRPr="00A236FD" w:rsidRDefault="007C66EF" w:rsidP="0041579D">
            <w:pPr>
              <w:jc w:val="center"/>
              <w:rPr>
                <w:rFonts w:ascii="Times New Roman" w:hAnsi="Times New Roman"/>
                <w:sz w:val="20"/>
                <w:szCs w:val="20"/>
              </w:rPr>
            </w:pPr>
            <w:r>
              <w:rPr>
                <w:rFonts w:ascii="Times New Roman" w:hAnsi="Times New Roman"/>
                <w:sz w:val="20"/>
                <w:szCs w:val="20"/>
              </w:rPr>
              <w:t>Наименование страны происхождения товара</w:t>
            </w:r>
          </w:p>
        </w:tc>
        <w:tc>
          <w:tcPr>
            <w:tcW w:w="824" w:type="pc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Наименование показателей товара</w:t>
            </w:r>
          </w:p>
        </w:tc>
        <w:tc>
          <w:tcPr>
            <w:tcW w:w="1753" w:type="pc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 же значения</w:t>
            </w:r>
          </w:p>
        </w:tc>
      </w:tr>
      <w:tr w:rsidR="007C66EF" w:rsidRPr="00A236FD" w:rsidTr="0041579D">
        <w:trPr>
          <w:trHeight w:val="525"/>
        </w:trPr>
        <w:tc>
          <w:tcPr>
            <w:tcW w:w="240" w:type="pct"/>
            <w:vMerge w:val="restar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1</w:t>
            </w:r>
          </w:p>
        </w:tc>
        <w:tc>
          <w:tcPr>
            <w:tcW w:w="817" w:type="pct"/>
            <w:vMerge w:val="restart"/>
          </w:tcPr>
          <w:p w:rsidR="007C66EF" w:rsidRPr="00A236FD" w:rsidRDefault="007C66EF" w:rsidP="0041579D">
            <w:pPr>
              <w:rPr>
                <w:rFonts w:ascii="Times New Roman" w:hAnsi="Times New Roman"/>
                <w:sz w:val="20"/>
                <w:szCs w:val="20"/>
              </w:rPr>
            </w:pPr>
            <w:r w:rsidRPr="00A236FD">
              <w:rPr>
                <w:rStyle w:val="cardmaininfocontent"/>
                <w:rFonts w:ascii="Times New Roman" w:hAnsi="Times New Roman"/>
                <w:sz w:val="20"/>
                <w:szCs w:val="20"/>
              </w:rPr>
              <w:t>Крупа гречневая</w:t>
            </w:r>
          </w:p>
        </w:tc>
        <w:tc>
          <w:tcPr>
            <w:tcW w:w="296" w:type="pct"/>
            <w:vMerge w:val="restar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кг.</w:t>
            </w:r>
          </w:p>
        </w:tc>
        <w:tc>
          <w:tcPr>
            <w:tcW w:w="304" w:type="pct"/>
            <w:vMerge w:val="restar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80</w:t>
            </w:r>
          </w:p>
        </w:tc>
        <w:tc>
          <w:tcPr>
            <w:tcW w:w="766" w:type="pct"/>
            <w:vMerge w:val="restart"/>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Код и наименование группы по ОКПД2 и КТРУ</w:t>
            </w:r>
          </w:p>
        </w:tc>
        <w:tc>
          <w:tcPr>
            <w:tcW w:w="1753" w:type="pct"/>
            <w:tcBorders>
              <w:right w:val="single" w:sz="4" w:space="0" w:color="auto"/>
            </w:tcBorders>
          </w:tcPr>
          <w:p w:rsidR="007C66EF" w:rsidRPr="00A236FD" w:rsidRDefault="007C66EF" w:rsidP="0041579D">
            <w:pPr>
              <w:rPr>
                <w:rFonts w:ascii="Times New Roman" w:hAnsi="Times New Roman"/>
                <w:b/>
                <w:sz w:val="20"/>
                <w:szCs w:val="20"/>
              </w:rPr>
            </w:pPr>
            <w:r w:rsidRPr="00A236FD">
              <w:rPr>
                <w:rFonts w:ascii="Times New Roman" w:hAnsi="Times New Roman"/>
                <w:b/>
                <w:sz w:val="20"/>
                <w:szCs w:val="20"/>
              </w:rPr>
              <w:t xml:space="preserve">ОКПД2 </w:t>
            </w:r>
            <w:r w:rsidRPr="00A236FD">
              <w:rPr>
                <w:rFonts w:ascii="Times New Roman" w:hAnsi="Times New Roman"/>
                <w:sz w:val="20"/>
                <w:szCs w:val="20"/>
              </w:rPr>
              <w:t>10.61.32.113 Крупа гречневая</w:t>
            </w:r>
          </w:p>
          <w:p w:rsidR="007C66EF" w:rsidRPr="00A236FD" w:rsidRDefault="007C66EF" w:rsidP="0041579D">
            <w:pPr>
              <w:rPr>
                <w:rFonts w:ascii="Times New Roman" w:hAnsi="Times New Roman"/>
                <w:sz w:val="20"/>
                <w:szCs w:val="20"/>
              </w:rPr>
            </w:pPr>
            <w:r w:rsidRPr="00A236FD">
              <w:rPr>
                <w:rFonts w:ascii="Times New Roman" w:hAnsi="Times New Roman"/>
                <w:b/>
                <w:sz w:val="20"/>
                <w:szCs w:val="20"/>
              </w:rPr>
              <w:t>КТРУ</w:t>
            </w:r>
            <w:r w:rsidRPr="00A236FD">
              <w:rPr>
                <w:rFonts w:ascii="Times New Roman" w:hAnsi="Times New Roman"/>
                <w:sz w:val="20"/>
                <w:szCs w:val="20"/>
              </w:rPr>
              <w:t xml:space="preserve"> </w:t>
            </w:r>
            <w:hyperlink r:id="rId4" w:tgtFrame="_blank" w:history="1">
              <w:r w:rsidRPr="00A236FD">
                <w:rPr>
                  <w:rStyle w:val="a4"/>
                  <w:rFonts w:ascii="Times New Roman" w:hAnsi="Times New Roman"/>
                  <w:color w:val="auto"/>
                  <w:sz w:val="20"/>
                  <w:szCs w:val="20"/>
                  <w:u w:val="none"/>
                </w:rPr>
                <w:t>10.61.32.113-00000004</w:t>
              </w:r>
            </w:hyperlink>
            <w:r w:rsidRPr="00A236FD">
              <w:rPr>
                <w:rFonts w:ascii="Times New Roman" w:hAnsi="Times New Roman"/>
                <w:sz w:val="20"/>
                <w:szCs w:val="20"/>
              </w:rPr>
              <w:t xml:space="preserve"> </w:t>
            </w:r>
          </w:p>
        </w:tc>
      </w:tr>
      <w:tr w:rsidR="007C66EF" w:rsidRPr="00A236FD" w:rsidTr="0041579D">
        <w:trPr>
          <w:trHeight w:val="345"/>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ГОСТ</w:t>
            </w:r>
          </w:p>
        </w:tc>
        <w:tc>
          <w:tcPr>
            <w:tcW w:w="1753" w:type="pct"/>
            <w:tcBorders>
              <w:right w:val="single" w:sz="4" w:space="0" w:color="auto"/>
            </w:tcBorders>
          </w:tcPr>
          <w:p w:rsidR="007C66EF" w:rsidRPr="00A236FD" w:rsidRDefault="007C66EF" w:rsidP="0041579D">
            <w:pPr>
              <w:rPr>
                <w:rFonts w:ascii="Times New Roman" w:hAnsi="Times New Roman"/>
                <w:sz w:val="20"/>
                <w:szCs w:val="20"/>
              </w:rPr>
            </w:pPr>
            <w:r w:rsidRPr="00A236FD">
              <w:rPr>
                <w:rFonts w:ascii="Times New Roman" w:hAnsi="Times New Roman"/>
                <w:b/>
                <w:bCs/>
                <w:sz w:val="20"/>
                <w:szCs w:val="20"/>
              </w:rPr>
              <w:t xml:space="preserve">ГОСТ </w:t>
            </w:r>
            <w:r w:rsidRPr="00A236FD">
              <w:rPr>
                <w:rFonts w:ascii="Times New Roman" w:hAnsi="Times New Roman"/>
                <w:b/>
                <w:sz w:val="20"/>
                <w:szCs w:val="20"/>
              </w:rPr>
              <w:t>Р 5550-2021</w:t>
            </w:r>
          </w:p>
          <w:p w:rsidR="007C66EF" w:rsidRPr="00A236FD" w:rsidRDefault="007C66EF" w:rsidP="0041579D">
            <w:pPr>
              <w:jc w:val="both"/>
              <w:rPr>
                <w:rFonts w:ascii="Times New Roman" w:hAnsi="Times New Roman"/>
                <w:sz w:val="20"/>
                <w:szCs w:val="20"/>
              </w:rPr>
            </w:pPr>
            <w:r w:rsidRPr="00A236FD">
              <w:rPr>
                <w:rFonts w:ascii="Times New Roman" w:hAnsi="Times New Roman"/>
                <w:sz w:val="20"/>
                <w:szCs w:val="20"/>
              </w:rPr>
              <w:t>Межгосударственный стандарт. Соответствие нормативному документу – технический регламент таможенного союза «О безопасности пищевой продукции» ТР ТС 021/2011, ТР ТС 022/2011</w:t>
            </w:r>
          </w:p>
        </w:tc>
      </w:tr>
      <w:tr w:rsidR="007C66EF" w:rsidRPr="00A236FD" w:rsidTr="0041579D">
        <w:trPr>
          <w:trHeight w:val="902"/>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Основные технические характеристики товара</w:t>
            </w:r>
          </w:p>
        </w:tc>
        <w:tc>
          <w:tcPr>
            <w:tcW w:w="1753" w:type="pct"/>
            <w:tcBorders>
              <w:right w:val="single" w:sz="4" w:space="0" w:color="auto"/>
            </w:tcBorders>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Вид крупы: ядрица.</w:t>
            </w:r>
          </w:p>
          <w:p w:rsidR="007C66EF" w:rsidRPr="00A236FD" w:rsidRDefault="007C66EF" w:rsidP="0041579D">
            <w:pPr>
              <w:rPr>
                <w:rFonts w:ascii="Times New Roman" w:hAnsi="Times New Roman"/>
                <w:sz w:val="20"/>
                <w:szCs w:val="20"/>
              </w:rPr>
            </w:pPr>
            <w:r w:rsidRPr="00A236FD">
              <w:rPr>
                <w:rFonts w:ascii="Times New Roman" w:hAnsi="Times New Roman"/>
                <w:sz w:val="20"/>
                <w:szCs w:val="20"/>
              </w:rPr>
              <w:t>Сорт: не ниже высшего.</w:t>
            </w:r>
          </w:p>
        </w:tc>
      </w:tr>
      <w:tr w:rsidR="007C66EF" w:rsidRPr="00A236FD" w:rsidTr="0041579D">
        <w:trPr>
          <w:trHeight w:val="991"/>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Дополнительные характеристики</w:t>
            </w:r>
          </w:p>
        </w:tc>
        <w:tc>
          <w:tcPr>
            <w:tcW w:w="1753" w:type="pct"/>
            <w:tcBorders>
              <w:right w:val="single" w:sz="4" w:space="0" w:color="auto"/>
            </w:tcBorders>
          </w:tcPr>
          <w:p w:rsidR="007C66EF" w:rsidRPr="00A236FD" w:rsidRDefault="007C66EF" w:rsidP="0041579D">
            <w:pPr>
              <w:jc w:val="both"/>
              <w:rPr>
                <w:rFonts w:ascii="Times New Roman" w:hAnsi="Times New Roman"/>
                <w:b/>
                <w:sz w:val="20"/>
                <w:szCs w:val="20"/>
              </w:rPr>
            </w:pPr>
            <w:r w:rsidRPr="00A236FD">
              <w:rPr>
                <w:rFonts w:ascii="Times New Roman" w:hAnsi="Times New Roman"/>
                <w:b/>
                <w:sz w:val="20"/>
                <w:szCs w:val="20"/>
              </w:rPr>
              <w:t>Дополнительные характеристики используются в связи с тем, что они являются главными показателями качества поставляемого товара:</w:t>
            </w:r>
          </w:p>
          <w:p w:rsidR="007C66EF" w:rsidRPr="00A236FD" w:rsidRDefault="007C66EF" w:rsidP="0041579D">
            <w:pPr>
              <w:jc w:val="both"/>
              <w:rPr>
                <w:rFonts w:ascii="Times New Roman" w:hAnsi="Times New Roman"/>
                <w:sz w:val="20"/>
                <w:szCs w:val="20"/>
              </w:rPr>
            </w:pPr>
            <w:r w:rsidRPr="00A236FD">
              <w:rPr>
                <w:rFonts w:ascii="Times New Roman" w:hAnsi="Times New Roman"/>
                <w:sz w:val="20"/>
                <w:szCs w:val="20"/>
              </w:rPr>
              <w:t>Цвет ядрица и продел – кремовый с желтоватым или зеленоватым оттенком. Запах свойственный гречневой крупе, без посторонних запахов, не затхлый, не плесневый. Вкус свойственный гречневой крупе, без посторонних привкусов, не кислый, не горький.</w:t>
            </w:r>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Фасовка тары</w:t>
            </w:r>
          </w:p>
        </w:tc>
        <w:tc>
          <w:tcPr>
            <w:tcW w:w="1753" w:type="pct"/>
            <w:tcBorders>
              <w:right w:val="single" w:sz="4" w:space="0" w:color="auto"/>
            </w:tcBorders>
          </w:tcPr>
          <w:p w:rsidR="007C66EF" w:rsidRPr="00A236FD" w:rsidRDefault="007C66EF" w:rsidP="0041579D">
            <w:pPr>
              <w:jc w:val="both"/>
              <w:rPr>
                <w:rFonts w:ascii="Times New Roman" w:hAnsi="Times New Roman"/>
                <w:b/>
                <w:sz w:val="20"/>
                <w:szCs w:val="20"/>
              </w:rPr>
            </w:pPr>
            <w:r w:rsidRPr="00A236FD">
              <w:rPr>
                <w:rFonts w:ascii="Times New Roman" w:hAnsi="Times New Roman"/>
                <w:b/>
                <w:sz w:val="20"/>
                <w:szCs w:val="20"/>
              </w:rPr>
              <w:t>Крупа гречневая должна быть расфасована в полиэтиленовые или полипропиленовые пакеты массой по 700 гр.</w:t>
            </w:r>
            <w:r w:rsidRPr="00A236FD">
              <w:rPr>
                <w:rFonts w:ascii="Times New Roman" w:hAnsi="Times New Roman"/>
                <w:sz w:val="20"/>
                <w:szCs w:val="20"/>
              </w:rPr>
              <w:t xml:space="preserve"> Упаковка должна обеспечивать сохранность продукции при ее транспортировании и хранении. Повреждений на упаковке быть не должно.</w:t>
            </w:r>
          </w:p>
        </w:tc>
      </w:tr>
      <w:tr w:rsidR="007C66EF" w:rsidRPr="00A236FD" w:rsidTr="0041579D">
        <w:trPr>
          <w:trHeight w:val="330"/>
        </w:trPr>
        <w:tc>
          <w:tcPr>
            <w:tcW w:w="240" w:type="pct"/>
            <w:vMerge w:val="restar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lastRenderedPageBreak/>
              <w:t>2</w:t>
            </w:r>
          </w:p>
        </w:tc>
        <w:tc>
          <w:tcPr>
            <w:tcW w:w="817" w:type="pct"/>
            <w:vMerge w:val="restart"/>
          </w:tcPr>
          <w:p w:rsidR="007C66EF" w:rsidRPr="00A236FD" w:rsidRDefault="007C66EF" w:rsidP="0041579D">
            <w:pPr>
              <w:rPr>
                <w:rFonts w:ascii="Times New Roman" w:hAnsi="Times New Roman"/>
                <w:sz w:val="20"/>
                <w:szCs w:val="20"/>
              </w:rPr>
            </w:pPr>
            <w:r w:rsidRPr="00A236FD">
              <w:rPr>
                <w:rStyle w:val="cardmaininfocontent"/>
                <w:rFonts w:ascii="Times New Roman" w:hAnsi="Times New Roman"/>
                <w:sz w:val="20"/>
                <w:szCs w:val="20"/>
              </w:rPr>
              <w:t>Крупа перловая</w:t>
            </w:r>
          </w:p>
        </w:tc>
        <w:tc>
          <w:tcPr>
            <w:tcW w:w="296" w:type="pct"/>
            <w:vMerge w:val="restar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кг.</w:t>
            </w:r>
          </w:p>
        </w:tc>
        <w:tc>
          <w:tcPr>
            <w:tcW w:w="304" w:type="pct"/>
            <w:vMerge w:val="restar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40</w:t>
            </w:r>
          </w:p>
        </w:tc>
        <w:tc>
          <w:tcPr>
            <w:tcW w:w="766" w:type="pct"/>
            <w:vMerge w:val="restart"/>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Код и наименование группы по ОКПД2 и КТРУ</w:t>
            </w:r>
          </w:p>
        </w:tc>
        <w:tc>
          <w:tcPr>
            <w:tcW w:w="1753" w:type="pct"/>
            <w:tcBorders>
              <w:right w:val="single" w:sz="4" w:space="0" w:color="auto"/>
            </w:tcBorders>
          </w:tcPr>
          <w:p w:rsidR="007C66EF" w:rsidRPr="00A236FD" w:rsidRDefault="007C66EF" w:rsidP="0041579D">
            <w:pPr>
              <w:jc w:val="both"/>
              <w:rPr>
                <w:rFonts w:ascii="Times New Roman" w:hAnsi="Times New Roman"/>
                <w:b/>
                <w:sz w:val="20"/>
                <w:szCs w:val="20"/>
              </w:rPr>
            </w:pPr>
            <w:r w:rsidRPr="00A236FD">
              <w:rPr>
                <w:rFonts w:ascii="Times New Roman" w:hAnsi="Times New Roman"/>
                <w:b/>
                <w:sz w:val="20"/>
                <w:szCs w:val="20"/>
              </w:rPr>
              <w:t xml:space="preserve">ОКПД2 </w:t>
            </w:r>
            <w:r w:rsidRPr="00A236FD">
              <w:rPr>
                <w:rFonts w:ascii="Times New Roman" w:hAnsi="Times New Roman"/>
                <w:sz w:val="20"/>
                <w:szCs w:val="20"/>
              </w:rPr>
              <w:t>10.61.32.116 Крупа перловая</w:t>
            </w:r>
          </w:p>
          <w:p w:rsidR="007C66EF" w:rsidRPr="00A236FD" w:rsidRDefault="007C66EF" w:rsidP="0041579D">
            <w:pPr>
              <w:jc w:val="both"/>
              <w:rPr>
                <w:rFonts w:ascii="Times New Roman" w:hAnsi="Times New Roman"/>
                <w:b/>
                <w:sz w:val="20"/>
                <w:szCs w:val="20"/>
              </w:rPr>
            </w:pPr>
            <w:r w:rsidRPr="00A236FD">
              <w:rPr>
                <w:rFonts w:ascii="Times New Roman" w:hAnsi="Times New Roman"/>
                <w:b/>
                <w:sz w:val="20"/>
                <w:szCs w:val="20"/>
              </w:rPr>
              <w:t xml:space="preserve">КТРУ </w:t>
            </w:r>
            <w:hyperlink r:id="rId5" w:tgtFrame="_blank" w:history="1">
              <w:r w:rsidRPr="00A236FD">
                <w:rPr>
                  <w:rStyle w:val="a4"/>
                  <w:rFonts w:ascii="Times New Roman" w:hAnsi="Times New Roman"/>
                  <w:color w:val="auto"/>
                  <w:sz w:val="20"/>
                  <w:szCs w:val="20"/>
                  <w:u w:val="none"/>
                </w:rPr>
                <w:t xml:space="preserve">10.61.32.116-00000003 </w:t>
              </w:r>
            </w:hyperlink>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ГОСТ</w:t>
            </w:r>
          </w:p>
        </w:tc>
        <w:tc>
          <w:tcPr>
            <w:tcW w:w="1753" w:type="pct"/>
            <w:tcBorders>
              <w:right w:val="single" w:sz="4" w:space="0" w:color="auto"/>
            </w:tcBorders>
          </w:tcPr>
          <w:p w:rsidR="007C66EF" w:rsidRPr="00A236FD" w:rsidRDefault="007C66EF" w:rsidP="0041579D">
            <w:pPr>
              <w:rPr>
                <w:rFonts w:ascii="Times New Roman" w:hAnsi="Times New Roman"/>
                <w:b/>
                <w:sz w:val="20"/>
                <w:szCs w:val="20"/>
              </w:rPr>
            </w:pPr>
            <w:r w:rsidRPr="00A236FD">
              <w:rPr>
                <w:rFonts w:ascii="Times New Roman" w:hAnsi="Times New Roman"/>
                <w:b/>
                <w:sz w:val="20"/>
                <w:szCs w:val="20"/>
              </w:rPr>
              <w:t>ГОСТ 5784-2022</w:t>
            </w:r>
          </w:p>
          <w:p w:rsidR="007C66EF" w:rsidRPr="00A236FD" w:rsidRDefault="007C66EF" w:rsidP="0041579D">
            <w:pPr>
              <w:jc w:val="both"/>
              <w:rPr>
                <w:rFonts w:ascii="Times New Roman" w:hAnsi="Times New Roman"/>
                <w:sz w:val="20"/>
                <w:szCs w:val="20"/>
              </w:rPr>
            </w:pPr>
            <w:r w:rsidRPr="00A236FD">
              <w:rPr>
                <w:rFonts w:ascii="Times New Roman" w:hAnsi="Times New Roman"/>
                <w:sz w:val="20"/>
                <w:szCs w:val="20"/>
              </w:rPr>
              <w:t>Межгосударственный стандарт. Соответствие нормативному документу – технический регламент таможенного союза «О безопасности пищевой продукции» ТР ТС 021/2011, ТР ТС 022/2011</w:t>
            </w:r>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Основные технические характеристики товара</w:t>
            </w:r>
          </w:p>
        </w:tc>
        <w:tc>
          <w:tcPr>
            <w:tcW w:w="1753" w:type="pct"/>
            <w:tcBorders>
              <w:right w:val="single" w:sz="4" w:space="0" w:color="auto"/>
            </w:tcBorders>
          </w:tcPr>
          <w:p w:rsidR="007C66EF" w:rsidRPr="00A236FD" w:rsidRDefault="007C66EF" w:rsidP="0041579D">
            <w:pPr>
              <w:jc w:val="both"/>
              <w:rPr>
                <w:rFonts w:ascii="Times New Roman" w:hAnsi="Times New Roman"/>
                <w:b/>
                <w:sz w:val="20"/>
                <w:szCs w:val="20"/>
              </w:rPr>
            </w:pPr>
            <w:r w:rsidRPr="00A236FD">
              <w:rPr>
                <w:rFonts w:ascii="Times New Roman" w:hAnsi="Times New Roman"/>
                <w:sz w:val="20"/>
                <w:szCs w:val="20"/>
              </w:rPr>
              <w:t>Номер крупы: 3</w:t>
            </w:r>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Дополнительные характеристики</w:t>
            </w:r>
          </w:p>
        </w:tc>
        <w:tc>
          <w:tcPr>
            <w:tcW w:w="1753" w:type="pct"/>
            <w:tcBorders>
              <w:right w:val="single" w:sz="4" w:space="0" w:color="auto"/>
            </w:tcBorders>
          </w:tcPr>
          <w:p w:rsidR="007C66EF" w:rsidRPr="00A236FD" w:rsidRDefault="007C66EF" w:rsidP="0041579D">
            <w:pPr>
              <w:jc w:val="both"/>
              <w:rPr>
                <w:rFonts w:ascii="Times New Roman" w:hAnsi="Times New Roman"/>
                <w:b/>
                <w:sz w:val="20"/>
                <w:szCs w:val="20"/>
              </w:rPr>
            </w:pPr>
            <w:r w:rsidRPr="00A236FD">
              <w:rPr>
                <w:rFonts w:ascii="Times New Roman" w:hAnsi="Times New Roman"/>
                <w:b/>
                <w:sz w:val="20"/>
                <w:szCs w:val="20"/>
              </w:rPr>
              <w:t>Дополнительные характеристики используются в связи с тем, что они являются главными показателями качества поставляемого товара:</w:t>
            </w:r>
          </w:p>
          <w:p w:rsidR="007C66EF" w:rsidRPr="00A236FD" w:rsidRDefault="007C66EF" w:rsidP="0041579D">
            <w:pPr>
              <w:jc w:val="both"/>
              <w:rPr>
                <w:rFonts w:ascii="Times New Roman" w:hAnsi="Times New Roman"/>
                <w:b/>
                <w:sz w:val="20"/>
                <w:szCs w:val="20"/>
              </w:rPr>
            </w:pPr>
            <w:r w:rsidRPr="00A236FD">
              <w:rPr>
                <w:rFonts w:ascii="Times New Roman" w:hAnsi="Times New Roman"/>
                <w:sz w:val="20"/>
                <w:szCs w:val="20"/>
              </w:rPr>
              <w:t xml:space="preserve">Цвет крупы перловой - белый, возможно с желтоватым или зеленоватым оттенком. Запах свойственный нормальной </w:t>
            </w:r>
            <w:proofErr w:type="gramStart"/>
            <w:r w:rsidRPr="00A236FD">
              <w:rPr>
                <w:rFonts w:ascii="Times New Roman" w:hAnsi="Times New Roman"/>
                <w:sz w:val="20"/>
                <w:szCs w:val="20"/>
              </w:rPr>
              <w:t>перловой  крупе</w:t>
            </w:r>
            <w:proofErr w:type="gramEnd"/>
            <w:r w:rsidRPr="00A236FD">
              <w:rPr>
                <w:rFonts w:ascii="Times New Roman" w:hAnsi="Times New Roman"/>
                <w:sz w:val="20"/>
                <w:szCs w:val="20"/>
              </w:rPr>
              <w:t>, без посторонних запахов, не затхлый, не плесневый. Вкус свойственный нормальной перловой крупе, без посторонних привкусов, не кислый, не горький. Зараженность вредителями не допускается.</w:t>
            </w:r>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Фасовка тары</w:t>
            </w:r>
          </w:p>
        </w:tc>
        <w:tc>
          <w:tcPr>
            <w:tcW w:w="1753" w:type="pct"/>
            <w:tcBorders>
              <w:right w:val="single" w:sz="4" w:space="0" w:color="auto"/>
            </w:tcBorders>
          </w:tcPr>
          <w:p w:rsidR="007C66EF" w:rsidRPr="00A236FD" w:rsidRDefault="007C66EF" w:rsidP="0041579D">
            <w:pPr>
              <w:jc w:val="both"/>
              <w:rPr>
                <w:rFonts w:ascii="Times New Roman" w:hAnsi="Times New Roman"/>
                <w:sz w:val="20"/>
                <w:szCs w:val="20"/>
              </w:rPr>
            </w:pPr>
            <w:r w:rsidRPr="00A236FD">
              <w:rPr>
                <w:rFonts w:ascii="Times New Roman" w:hAnsi="Times New Roman"/>
                <w:b/>
                <w:sz w:val="20"/>
                <w:szCs w:val="20"/>
              </w:rPr>
              <w:t xml:space="preserve">Крупа перловая должна быть расфасована в полиэтиленовые или полипропиленовые пакеты </w:t>
            </w:r>
            <w:r w:rsidRPr="00A236FD">
              <w:rPr>
                <w:rFonts w:ascii="Times New Roman" w:hAnsi="Times New Roman"/>
                <w:b/>
                <w:sz w:val="20"/>
                <w:szCs w:val="20"/>
              </w:rPr>
              <w:lastRenderedPageBreak/>
              <w:t>массой по 700 гр.</w:t>
            </w:r>
            <w:r w:rsidRPr="00A236FD">
              <w:rPr>
                <w:rFonts w:ascii="Times New Roman" w:hAnsi="Times New Roman"/>
                <w:sz w:val="20"/>
                <w:szCs w:val="20"/>
              </w:rPr>
              <w:t xml:space="preserve"> Упаковка должна обеспечивать сохранность продукции при ее транспортировании и хранении. Повреждений на упаковке быть не должно.</w:t>
            </w:r>
          </w:p>
        </w:tc>
      </w:tr>
      <w:tr w:rsidR="007C66EF" w:rsidRPr="00A236FD" w:rsidTr="0041579D">
        <w:trPr>
          <w:trHeight w:val="330"/>
        </w:trPr>
        <w:tc>
          <w:tcPr>
            <w:tcW w:w="240" w:type="pct"/>
            <w:vMerge w:val="restar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lastRenderedPageBreak/>
              <w:t>3</w:t>
            </w:r>
          </w:p>
        </w:tc>
        <w:tc>
          <w:tcPr>
            <w:tcW w:w="817" w:type="pct"/>
            <w:vMerge w:val="restart"/>
          </w:tcPr>
          <w:p w:rsidR="007C66EF" w:rsidRPr="00A236FD" w:rsidRDefault="007C66EF" w:rsidP="0041579D">
            <w:pPr>
              <w:rPr>
                <w:rFonts w:ascii="Times New Roman" w:hAnsi="Times New Roman"/>
                <w:sz w:val="20"/>
                <w:szCs w:val="20"/>
              </w:rPr>
            </w:pPr>
            <w:r w:rsidRPr="00A236FD">
              <w:rPr>
                <w:rStyle w:val="cardmaininfocontent"/>
                <w:rFonts w:ascii="Times New Roman" w:hAnsi="Times New Roman"/>
                <w:sz w:val="20"/>
                <w:szCs w:val="20"/>
              </w:rPr>
              <w:t>Пшено</w:t>
            </w:r>
          </w:p>
        </w:tc>
        <w:tc>
          <w:tcPr>
            <w:tcW w:w="296" w:type="pct"/>
            <w:vMerge w:val="restar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кг.</w:t>
            </w:r>
          </w:p>
        </w:tc>
        <w:tc>
          <w:tcPr>
            <w:tcW w:w="304" w:type="pct"/>
            <w:vMerge w:val="restar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24</w:t>
            </w:r>
          </w:p>
        </w:tc>
        <w:tc>
          <w:tcPr>
            <w:tcW w:w="766" w:type="pct"/>
            <w:vMerge w:val="restart"/>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Код и наименование группы по ОКПД2 и КТРУ</w:t>
            </w:r>
          </w:p>
        </w:tc>
        <w:tc>
          <w:tcPr>
            <w:tcW w:w="1753" w:type="pct"/>
            <w:tcBorders>
              <w:right w:val="single" w:sz="4" w:space="0" w:color="auto"/>
            </w:tcBorders>
          </w:tcPr>
          <w:p w:rsidR="007C66EF" w:rsidRPr="00A236FD" w:rsidRDefault="007C66EF" w:rsidP="0041579D">
            <w:pPr>
              <w:jc w:val="both"/>
              <w:rPr>
                <w:rFonts w:ascii="Times New Roman" w:hAnsi="Times New Roman"/>
                <w:sz w:val="20"/>
                <w:szCs w:val="20"/>
              </w:rPr>
            </w:pPr>
            <w:r w:rsidRPr="00A236FD">
              <w:rPr>
                <w:rFonts w:ascii="Times New Roman" w:hAnsi="Times New Roman"/>
                <w:b/>
                <w:sz w:val="20"/>
                <w:szCs w:val="20"/>
              </w:rPr>
              <w:t xml:space="preserve">ОКПД2 </w:t>
            </w:r>
            <w:r w:rsidRPr="00A236FD">
              <w:rPr>
                <w:rFonts w:ascii="Times New Roman" w:hAnsi="Times New Roman"/>
                <w:sz w:val="20"/>
                <w:szCs w:val="20"/>
              </w:rPr>
              <w:t>10.61.32.114 Пшено</w:t>
            </w:r>
          </w:p>
          <w:p w:rsidR="007C66EF" w:rsidRPr="00A236FD" w:rsidRDefault="007C66EF" w:rsidP="0041579D">
            <w:pPr>
              <w:jc w:val="both"/>
              <w:rPr>
                <w:rFonts w:ascii="Times New Roman" w:hAnsi="Times New Roman"/>
                <w:sz w:val="20"/>
                <w:szCs w:val="20"/>
              </w:rPr>
            </w:pPr>
            <w:r w:rsidRPr="00A236FD">
              <w:rPr>
                <w:rFonts w:ascii="Times New Roman" w:hAnsi="Times New Roman"/>
                <w:b/>
                <w:sz w:val="20"/>
                <w:szCs w:val="20"/>
              </w:rPr>
              <w:t xml:space="preserve">КТРУ </w:t>
            </w:r>
            <w:hyperlink r:id="rId6" w:tgtFrame="_blank" w:history="1">
              <w:r w:rsidRPr="00A236FD">
                <w:rPr>
                  <w:rStyle w:val="a4"/>
                  <w:rFonts w:ascii="Times New Roman" w:hAnsi="Times New Roman"/>
                  <w:color w:val="auto"/>
                  <w:sz w:val="20"/>
                  <w:szCs w:val="20"/>
                  <w:u w:val="none"/>
                </w:rPr>
                <w:t>10.61.32.114-00000004</w:t>
              </w:r>
            </w:hyperlink>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ГОСТ</w:t>
            </w:r>
          </w:p>
        </w:tc>
        <w:tc>
          <w:tcPr>
            <w:tcW w:w="1753" w:type="pct"/>
            <w:tcBorders>
              <w:right w:val="single" w:sz="4" w:space="0" w:color="auto"/>
            </w:tcBorders>
          </w:tcPr>
          <w:p w:rsidR="007C66EF" w:rsidRPr="00A236FD" w:rsidRDefault="007C66EF" w:rsidP="0041579D">
            <w:pPr>
              <w:rPr>
                <w:rFonts w:ascii="Times New Roman" w:hAnsi="Times New Roman"/>
                <w:b/>
                <w:sz w:val="20"/>
                <w:szCs w:val="20"/>
              </w:rPr>
            </w:pPr>
            <w:r w:rsidRPr="00A236FD">
              <w:rPr>
                <w:rFonts w:ascii="Times New Roman" w:hAnsi="Times New Roman"/>
                <w:b/>
                <w:bCs/>
                <w:sz w:val="20"/>
                <w:szCs w:val="20"/>
              </w:rPr>
              <w:t>ГОСТ</w:t>
            </w:r>
            <w:r w:rsidRPr="00A236FD">
              <w:rPr>
                <w:rFonts w:ascii="Times New Roman" w:hAnsi="Times New Roman"/>
                <w:b/>
                <w:sz w:val="20"/>
                <w:szCs w:val="20"/>
              </w:rPr>
              <w:t xml:space="preserve"> 572-2016</w:t>
            </w:r>
          </w:p>
          <w:p w:rsidR="007C66EF" w:rsidRPr="00A236FD" w:rsidRDefault="007C66EF" w:rsidP="0041579D">
            <w:pPr>
              <w:jc w:val="both"/>
              <w:rPr>
                <w:rFonts w:ascii="Times New Roman" w:hAnsi="Times New Roman"/>
                <w:sz w:val="20"/>
                <w:szCs w:val="20"/>
              </w:rPr>
            </w:pPr>
            <w:r w:rsidRPr="00A236FD">
              <w:rPr>
                <w:rFonts w:ascii="Times New Roman" w:hAnsi="Times New Roman"/>
                <w:sz w:val="20"/>
                <w:szCs w:val="20"/>
              </w:rPr>
              <w:t>Межгосударственный стандарт. Соответствие нормативному документу – технический регламент таможенного союза «О безопасности пищевой продукции» ТР ТС 021/2011, ТР ТС 022/2011</w:t>
            </w:r>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Основные технические характеристики товара</w:t>
            </w:r>
          </w:p>
        </w:tc>
        <w:tc>
          <w:tcPr>
            <w:tcW w:w="1753" w:type="pct"/>
            <w:tcBorders>
              <w:right w:val="single" w:sz="4" w:space="0" w:color="auto"/>
            </w:tcBorders>
          </w:tcPr>
          <w:p w:rsidR="007C66EF" w:rsidRPr="00A236FD" w:rsidRDefault="007C66EF" w:rsidP="0041579D">
            <w:pPr>
              <w:jc w:val="both"/>
              <w:rPr>
                <w:rFonts w:ascii="Times New Roman" w:hAnsi="Times New Roman"/>
                <w:sz w:val="20"/>
                <w:szCs w:val="20"/>
              </w:rPr>
            </w:pPr>
            <w:r w:rsidRPr="00A236FD">
              <w:rPr>
                <w:rFonts w:ascii="Times New Roman" w:hAnsi="Times New Roman"/>
                <w:sz w:val="20"/>
                <w:szCs w:val="20"/>
              </w:rPr>
              <w:t>Сорт: высший.</w:t>
            </w:r>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Дополнительные характеристики</w:t>
            </w:r>
          </w:p>
        </w:tc>
        <w:tc>
          <w:tcPr>
            <w:tcW w:w="1753" w:type="pct"/>
            <w:tcBorders>
              <w:right w:val="single" w:sz="4" w:space="0" w:color="auto"/>
            </w:tcBorders>
          </w:tcPr>
          <w:p w:rsidR="007C66EF" w:rsidRPr="00A236FD" w:rsidRDefault="007C66EF" w:rsidP="0041579D">
            <w:pPr>
              <w:jc w:val="both"/>
              <w:rPr>
                <w:rFonts w:ascii="Times New Roman" w:hAnsi="Times New Roman"/>
                <w:b/>
                <w:sz w:val="20"/>
                <w:szCs w:val="20"/>
              </w:rPr>
            </w:pPr>
            <w:r w:rsidRPr="00A236FD">
              <w:rPr>
                <w:rFonts w:ascii="Times New Roman" w:hAnsi="Times New Roman"/>
                <w:b/>
                <w:sz w:val="20"/>
                <w:szCs w:val="20"/>
              </w:rPr>
              <w:t>Дополнительные характеристики используются в связи с тем, что они являются главными показателями качества поставляемого товара:</w:t>
            </w:r>
          </w:p>
          <w:p w:rsidR="007C66EF" w:rsidRPr="00A236FD" w:rsidRDefault="007C66EF" w:rsidP="0041579D">
            <w:pPr>
              <w:jc w:val="both"/>
              <w:rPr>
                <w:rFonts w:ascii="Times New Roman" w:hAnsi="Times New Roman"/>
                <w:sz w:val="20"/>
                <w:szCs w:val="20"/>
              </w:rPr>
            </w:pPr>
            <w:r w:rsidRPr="00A236FD">
              <w:rPr>
                <w:rFonts w:ascii="Times New Roman" w:hAnsi="Times New Roman"/>
                <w:sz w:val="20"/>
                <w:szCs w:val="20"/>
              </w:rPr>
              <w:t xml:space="preserve">Цвет крупы пшено - желтый, разных оттенков. Запах </w:t>
            </w:r>
            <w:proofErr w:type="gramStart"/>
            <w:r w:rsidRPr="00A236FD">
              <w:rPr>
                <w:rFonts w:ascii="Times New Roman" w:hAnsi="Times New Roman"/>
                <w:sz w:val="20"/>
                <w:szCs w:val="20"/>
              </w:rPr>
              <w:t>свойственный  крупе</w:t>
            </w:r>
            <w:proofErr w:type="gramEnd"/>
            <w:r w:rsidRPr="00A236FD">
              <w:rPr>
                <w:rFonts w:ascii="Times New Roman" w:hAnsi="Times New Roman"/>
                <w:sz w:val="20"/>
                <w:szCs w:val="20"/>
              </w:rPr>
              <w:t xml:space="preserve"> пшено, без посторонних запахов, не затхлый, не плесневый. Вкус свойственный крупе пшено, без посторонних привкусов, не кислый, не горький.</w:t>
            </w:r>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Фасовка тары</w:t>
            </w:r>
          </w:p>
        </w:tc>
        <w:tc>
          <w:tcPr>
            <w:tcW w:w="1753" w:type="pct"/>
            <w:tcBorders>
              <w:right w:val="single" w:sz="4" w:space="0" w:color="auto"/>
            </w:tcBorders>
          </w:tcPr>
          <w:p w:rsidR="007C66EF" w:rsidRPr="00A236FD" w:rsidRDefault="007C66EF" w:rsidP="0041579D">
            <w:pPr>
              <w:jc w:val="both"/>
              <w:rPr>
                <w:rFonts w:ascii="Times New Roman" w:hAnsi="Times New Roman"/>
                <w:sz w:val="20"/>
                <w:szCs w:val="20"/>
              </w:rPr>
            </w:pPr>
            <w:r w:rsidRPr="00A236FD">
              <w:rPr>
                <w:rFonts w:ascii="Times New Roman" w:hAnsi="Times New Roman"/>
                <w:b/>
                <w:sz w:val="20"/>
                <w:szCs w:val="20"/>
              </w:rPr>
              <w:t>Крупа пшено должна быть расфасована в полиэтиленовые или полипропиленовые пакеты массой по 700 гр.</w:t>
            </w:r>
            <w:r w:rsidRPr="00A236FD">
              <w:rPr>
                <w:rFonts w:ascii="Times New Roman" w:hAnsi="Times New Roman"/>
                <w:sz w:val="20"/>
                <w:szCs w:val="20"/>
              </w:rPr>
              <w:t xml:space="preserve"> Упаковка должна обеспечивать сохранность продукции при ее транспортировании и хранении. Повреждений на упаковке быть не должно.</w:t>
            </w:r>
          </w:p>
        </w:tc>
      </w:tr>
      <w:tr w:rsidR="007C66EF" w:rsidRPr="00A236FD" w:rsidTr="0041579D">
        <w:trPr>
          <w:trHeight w:val="330"/>
        </w:trPr>
        <w:tc>
          <w:tcPr>
            <w:tcW w:w="240" w:type="pct"/>
            <w:vMerge w:val="restar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lastRenderedPageBreak/>
              <w:t>4</w:t>
            </w:r>
          </w:p>
        </w:tc>
        <w:tc>
          <w:tcPr>
            <w:tcW w:w="817" w:type="pct"/>
            <w:vMerge w:val="restart"/>
          </w:tcPr>
          <w:p w:rsidR="007C66EF" w:rsidRPr="00A236FD" w:rsidRDefault="007C66EF" w:rsidP="0041579D">
            <w:pPr>
              <w:rPr>
                <w:rFonts w:ascii="Times New Roman" w:hAnsi="Times New Roman"/>
                <w:sz w:val="20"/>
                <w:szCs w:val="20"/>
              </w:rPr>
            </w:pPr>
            <w:r w:rsidRPr="00A236FD">
              <w:rPr>
                <w:rStyle w:val="cardmaininfocontent"/>
                <w:rFonts w:ascii="Times New Roman" w:hAnsi="Times New Roman"/>
                <w:sz w:val="20"/>
                <w:szCs w:val="20"/>
              </w:rPr>
              <w:t>Крупа манная</w:t>
            </w:r>
          </w:p>
        </w:tc>
        <w:tc>
          <w:tcPr>
            <w:tcW w:w="296" w:type="pct"/>
            <w:vMerge w:val="restart"/>
          </w:tcPr>
          <w:p w:rsidR="007C66EF" w:rsidRPr="00A236FD" w:rsidRDefault="007C66EF" w:rsidP="0041579D">
            <w:pPr>
              <w:jc w:val="center"/>
              <w:rPr>
                <w:rFonts w:ascii="Times New Roman" w:hAnsi="Times New Roman"/>
                <w:sz w:val="20"/>
                <w:szCs w:val="20"/>
              </w:rPr>
            </w:pPr>
            <w:r w:rsidRPr="00A236FD">
              <w:rPr>
                <w:rFonts w:ascii="Times New Roman" w:hAnsi="Times New Roman"/>
                <w:sz w:val="20"/>
                <w:szCs w:val="20"/>
              </w:rPr>
              <w:t>кг.</w:t>
            </w:r>
          </w:p>
        </w:tc>
        <w:tc>
          <w:tcPr>
            <w:tcW w:w="304" w:type="pct"/>
            <w:vMerge w:val="restar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21</w:t>
            </w:r>
          </w:p>
        </w:tc>
        <w:tc>
          <w:tcPr>
            <w:tcW w:w="766" w:type="pct"/>
            <w:vMerge w:val="restart"/>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Код и наименование группы по ОКПД2 и КТРУ</w:t>
            </w:r>
          </w:p>
        </w:tc>
        <w:tc>
          <w:tcPr>
            <w:tcW w:w="1753" w:type="pct"/>
            <w:tcBorders>
              <w:right w:val="single" w:sz="4" w:space="0" w:color="auto"/>
            </w:tcBorders>
          </w:tcPr>
          <w:p w:rsidR="007C66EF" w:rsidRPr="00A236FD" w:rsidRDefault="007C66EF" w:rsidP="0041579D">
            <w:pPr>
              <w:jc w:val="both"/>
              <w:rPr>
                <w:rFonts w:ascii="Times New Roman" w:hAnsi="Times New Roman"/>
                <w:b/>
                <w:sz w:val="20"/>
                <w:szCs w:val="20"/>
              </w:rPr>
            </w:pPr>
            <w:r w:rsidRPr="00A236FD">
              <w:rPr>
                <w:rFonts w:ascii="Times New Roman" w:hAnsi="Times New Roman"/>
                <w:b/>
                <w:sz w:val="20"/>
                <w:szCs w:val="20"/>
              </w:rPr>
              <w:t xml:space="preserve">ОКПД2 </w:t>
            </w:r>
            <w:r w:rsidRPr="00A236FD">
              <w:rPr>
                <w:rFonts w:ascii="Times New Roman" w:hAnsi="Times New Roman"/>
                <w:sz w:val="20"/>
                <w:szCs w:val="20"/>
              </w:rPr>
              <w:t>10.61.31.111 Крупа манная</w:t>
            </w:r>
          </w:p>
          <w:p w:rsidR="007C66EF" w:rsidRPr="00A236FD" w:rsidRDefault="007C66EF" w:rsidP="0041579D">
            <w:pPr>
              <w:jc w:val="both"/>
              <w:rPr>
                <w:rFonts w:ascii="Times New Roman" w:hAnsi="Times New Roman"/>
                <w:b/>
                <w:sz w:val="20"/>
                <w:szCs w:val="20"/>
              </w:rPr>
            </w:pPr>
            <w:r w:rsidRPr="00A236FD">
              <w:rPr>
                <w:rFonts w:ascii="Times New Roman" w:hAnsi="Times New Roman"/>
                <w:b/>
                <w:sz w:val="20"/>
                <w:szCs w:val="20"/>
              </w:rPr>
              <w:t xml:space="preserve">КТРУ </w:t>
            </w:r>
            <w:hyperlink r:id="rId7" w:tgtFrame="_blank" w:history="1">
              <w:r w:rsidRPr="00A236FD">
                <w:rPr>
                  <w:rStyle w:val="a4"/>
                  <w:rFonts w:ascii="Times New Roman" w:hAnsi="Times New Roman"/>
                  <w:color w:val="auto"/>
                  <w:sz w:val="20"/>
                  <w:szCs w:val="20"/>
                  <w:u w:val="none"/>
                </w:rPr>
                <w:t>10.61.31.111-00000003</w:t>
              </w:r>
            </w:hyperlink>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ГОСТ</w:t>
            </w:r>
          </w:p>
        </w:tc>
        <w:tc>
          <w:tcPr>
            <w:tcW w:w="1753" w:type="pct"/>
            <w:tcBorders>
              <w:right w:val="single" w:sz="4" w:space="0" w:color="auto"/>
            </w:tcBorders>
          </w:tcPr>
          <w:p w:rsidR="007C66EF" w:rsidRPr="00A236FD" w:rsidRDefault="007C66EF" w:rsidP="0041579D">
            <w:pPr>
              <w:rPr>
                <w:rFonts w:ascii="Times New Roman" w:hAnsi="Times New Roman"/>
                <w:b/>
                <w:sz w:val="20"/>
                <w:szCs w:val="20"/>
              </w:rPr>
            </w:pPr>
            <w:r w:rsidRPr="00A236FD">
              <w:rPr>
                <w:rFonts w:ascii="Times New Roman" w:hAnsi="Times New Roman"/>
                <w:b/>
                <w:sz w:val="20"/>
                <w:szCs w:val="20"/>
              </w:rPr>
              <w:t>ГОСТ 7022-2019</w:t>
            </w:r>
          </w:p>
          <w:p w:rsidR="007C66EF" w:rsidRPr="00A236FD" w:rsidRDefault="007C66EF" w:rsidP="0041579D">
            <w:pPr>
              <w:jc w:val="both"/>
              <w:rPr>
                <w:rFonts w:ascii="Times New Roman" w:hAnsi="Times New Roman"/>
                <w:sz w:val="20"/>
                <w:szCs w:val="20"/>
              </w:rPr>
            </w:pPr>
            <w:r w:rsidRPr="00A236FD">
              <w:rPr>
                <w:rFonts w:ascii="Times New Roman" w:hAnsi="Times New Roman"/>
                <w:sz w:val="20"/>
                <w:szCs w:val="20"/>
              </w:rPr>
              <w:t>Межгосударственный стандарт. Соответствие нормативному документу – технический регламент таможенного союза «О безопасности пищевой продукции» ТР ТС 021/2011, ТР ТС 022/2011</w:t>
            </w:r>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Основные технические характеристики товара</w:t>
            </w:r>
          </w:p>
        </w:tc>
        <w:tc>
          <w:tcPr>
            <w:tcW w:w="1753" w:type="pct"/>
            <w:tcBorders>
              <w:right w:val="single" w:sz="4" w:space="0" w:color="auto"/>
            </w:tcBorders>
          </w:tcPr>
          <w:p w:rsidR="007C66EF" w:rsidRPr="00A236FD" w:rsidRDefault="007C66EF" w:rsidP="0041579D">
            <w:pPr>
              <w:jc w:val="both"/>
              <w:rPr>
                <w:rFonts w:ascii="Times New Roman" w:hAnsi="Times New Roman"/>
                <w:b/>
                <w:sz w:val="20"/>
                <w:szCs w:val="20"/>
              </w:rPr>
            </w:pPr>
            <w:r w:rsidRPr="00A236FD">
              <w:rPr>
                <w:rFonts w:ascii="Times New Roman" w:hAnsi="Times New Roman"/>
                <w:sz w:val="20"/>
                <w:szCs w:val="20"/>
              </w:rPr>
              <w:t>Марка крупы: МТ</w:t>
            </w:r>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Дополнительные характеристики</w:t>
            </w:r>
          </w:p>
        </w:tc>
        <w:tc>
          <w:tcPr>
            <w:tcW w:w="1753" w:type="pct"/>
            <w:tcBorders>
              <w:right w:val="single" w:sz="4" w:space="0" w:color="auto"/>
            </w:tcBorders>
          </w:tcPr>
          <w:p w:rsidR="007C66EF" w:rsidRPr="00A236FD" w:rsidRDefault="007C66EF" w:rsidP="0041579D">
            <w:pPr>
              <w:jc w:val="both"/>
              <w:rPr>
                <w:rFonts w:ascii="Times New Roman" w:hAnsi="Times New Roman"/>
                <w:b/>
                <w:sz w:val="20"/>
                <w:szCs w:val="20"/>
              </w:rPr>
            </w:pPr>
            <w:r w:rsidRPr="00A236FD">
              <w:rPr>
                <w:rFonts w:ascii="Times New Roman" w:hAnsi="Times New Roman"/>
                <w:b/>
                <w:sz w:val="20"/>
                <w:szCs w:val="20"/>
              </w:rPr>
              <w:t>Дополнительные характеристики используются в связи с тем, что они являются главными показателями качества поставляемого товара:</w:t>
            </w:r>
          </w:p>
          <w:p w:rsidR="007C66EF" w:rsidRPr="00A236FD" w:rsidRDefault="007C66EF" w:rsidP="0041579D">
            <w:pPr>
              <w:jc w:val="both"/>
              <w:rPr>
                <w:rFonts w:ascii="Times New Roman" w:hAnsi="Times New Roman"/>
                <w:b/>
                <w:sz w:val="20"/>
                <w:szCs w:val="20"/>
              </w:rPr>
            </w:pPr>
            <w:r w:rsidRPr="00A236FD">
              <w:rPr>
                <w:rFonts w:ascii="Times New Roman" w:hAnsi="Times New Roman"/>
                <w:sz w:val="20"/>
                <w:szCs w:val="20"/>
              </w:rPr>
              <w:t>Преобладает непрозрачная мучнистая крупка ровного белого или кремового цвета. Запах нормальный, без посторонних запахов, не затхлый, не плесневый. Вкус нормальный, без посторонних привкусов, не кислый, не горький. При разжевывании крупы не должно ощущаться хруста.</w:t>
            </w:r>
          </w:p>
        </w:tc>
      </w:tr>
      <w:tr w:rsidR="007C66EF" w:rsidRPr="00A236FD" w:rsidTr="0041579D">
        <w:trPr>
          <w:trHeight w:val="330"/>
        </w:trPr>
        <w:tc>
          <w:tcPr>
            <w:tcW w:w="240" w:type="pct"/>
            <w:vMerge/>
          </w:tcPr>
          <w:p w:rsidR="007C66EF" w:rsidRPr="00A236FD" w:rsidRDefault="007C66EF" w:rsidP="0041579D">
            <w:pPr>
              <w:rPr>
                <w:rFonts w:ascii="Times New Roman" w:hAnsi="Times New Roman"/>
                <w:sz w:val="20"/>
                <w:szCs w:val="20"/>
              </w:rPr>
            </w:pPr>
          </w:p>
        </w:tc>
        <w:tc>
          <w:tcPr>
            <w:tcW w:w="817" w:type="pct"/>
            <w:vMerge/>
          </w:tcPr>
          <w:p w:rsidR="007C66EF" w:rsidRPr="00A236FD" w:rsidRDefault="007C66EF" w:rsidP="0041579D">
            <w:pPr>
              <w:rPr>
                <w:rFonts w:ascii="Times New Roman" w:hAnsi="Times New Roman"/>
                <w:sz w:val="20"/>
                <w:szCs w:val="20"/>
              </w:rPr>
            </w:pPr>
          </w:p>
        </w:tc>
        <w:tc>
          <w:tcPr>
            <w:tcW w:w="296" w:type="pct"/>
            <w:vMerge/>
          </w:tcPr>
          <w:p w:rsidR="007C66EF" w:rsidRPr="00A236FD" w:rsidRDefault="007C66EF" w:rsidP="0041579D">
            <w:pPr>
              <w:rPr>
                <w:rFonts w:ascii="Times New Roman" w:hAnsi="Times New Roman"/>
                <w:sz w:val="20"/>
                <w:szCs w:val="20"/>
              </w:rPr>
            </w:pPr>
          </w:p>
        </w:tc>
        <w:tc>
          <w:tcPr>
            <w:tcW w:w="304" w:type="pct"/>
            <w:vMerge/>
          </w:tcPr>
          <w:p w:rsidR="007C66EF" w:rsidRPr="00A236FD" w:rsidRDefault="007C66EF" w:rsidP="0041579D">
            <w:pPr>
              <w:rPr>
                <w:rFonts w:ascii="Times New Roman" w:hAnsi="Times New Roman"/>
                <w:sz w:val="20"/>
                <w:szCs w:val="20"/>
              </w:rPr>
            </w:pPr>
          </w:p>
        </w:tc>
        <w:tc>
          <w:tcPr>
            <w:tcW w:w="766" w:type="pct"/>
            <w:vMerge/>
          </w:tcPr>
          <w:p w:rsidR="007C66EF" w:rsidRPr="00A236FD" w:rsidRDefault="007C66EF" w:rsidP="0041579D">
            <w:pPr>
              <w:rPr>
                <w:rFonts w:ascii="Times New Roman" w:hAnsi="Times New Roman"/>
                <w:sz w:val="20"/>
                <w:szCs w:val="20"/>
              </w:rPr>
            </w:pPr>
          </w:p>
        </w:tc>
        <w:tc>
          <w:tcPr>
            <w:tcW w:w="824" w:type="pct"/>
          </w:tcPr>
          <w:p w:rsidR="007C66EF" w:rsidRPr="00A236FD" w:rsidRDefault="007C66EF" w:rsidP="0041579D">
            <w:pPr>
              <w:rPr>
                <w:rFonts w:ascii="Times New Roman" w:hAnsi="Times New Roman"/>
                <w:sz w:val="20"/>
                <w:szCs w:val="20"/>
              </w:rPr>
            </w:pPr>
            <w:r w:rsidRPr="00A236FD">
              <w:rPr>
                <w:rFonts w:ascii="Times New Roman" w:hAnsi="Times New Roman"/>
                <w:sz w:val="20"/>
                <w:szCs w:val="20"/>
              </w:rPr>
              <w:t>Фасовка тары</w:t>
            </w:r>
          </w:p>
        </w:tc>
        <w:tc>
          <w:tcPr>
            <w:tcW w:w="1753" w:type="pct"/>
            <w:tcBorders>
              <w:right w:val="single" w:sz="4" w:space="0" w:color="auto"/>
            </w:tcBorders>
          </w:tcPr>
          <w:p w:rsidR="007C66EF" w:rsidRPr="00A236FD" w:rsidRDefault="007C66EF" w:rsidP="0041579D">
            <w:pPr>
              <w:jc w:val="both"/>
              <w:rPr>
                <w:rFonts w:ascii="Times New Roman" w:hAnsi="Times New Roman"/>
                <w:b/>
                <w:sz w:val="20"/>
                <w:szCs w:val="20"/>
              </w:rPr>
            </w:pPr>
            <w:r w:rsidRPr="00A236FD">
              <w:rPr>
                <w:rFonts w:ascii="Times New Roman" w:hAnsi="Times New Roman"/>
                <w:b/>
                <w:sz w:val="20"/>
                <w:szCs w:val="20"/>
              </w:rPr>
              <w:t>Крупа манная должна быть расфасована в полиэтиленовые или полипропиленовые пакеты массой по 700 гр.</w:t>
            </w:r>
            <w:r w:rsidRPr="00A236FD">
              <w:rPr>
                <w:rFonts w:ascii="Times New Roman" w:hAnsi="Times New Roman"/>
                <w:sz w:val="20"/>
                <w:szCs w:val="20"/>
              </w:rPr>
              <w:t xml:space="preserve"> Упаковка должна обеспечивать сохранность продукции при ее транспортировании и хранении. Повреждений на упаковке быть не должно.</w:t>
            </w:r>
          </w:p>
        </w:tc>
      </w:tr>
    </w:tbl>
    <w:p w:rsidR="008D2F8B" w:rsidRDefault="008D2F8B">
      <w:bookmarkStart w:id="1" w:name="_GoBack"/>
      <w:bookmarkEnd w:id="1"/>
    </w:p>
    <w:sectPr w:rsidR="008D2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EF"/>
    <w:rsid w:val="007C66EF"/>
    <w:rsid w:val="008D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94003-6D9D-4497-8782-55F834E4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6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ой текст с отступом Знак1"/>
    <w:basedOn w:val="a1"/>
    <w:uiPriority w:val="59"/>
    <w:rsid w:val="007C66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C66EF"/>
    <w:rPr>
      <w:rFonts w:cs="Times New Roman"/>
      <w:color w:val="0000FF"/>
      <w:u w:val="single"/>
    </w:rPr>
  </w:style>
  <w:style w:type="character" w:customStyle="1" w:styleId="cardmaininfocontent">
    <w:name w:val="cardmaininfo__content"/>
    <w:basedOn w:val="a0"/>
    <w:rsid w:val="007C6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upki.gov.ru/epz/ktru/ktruCard/ktru-description.html?itemId=71582&amp;backUr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upki.gov.ru/epz/ktru/ktruCard/ktru-description.html?itemId=71597&amp;backUrl=" TargetMode="External"/><Relationship Id="rId5" Type="http://schemas.openxmlformats.org/officeDocument/2006/relationships/hyperlink" Target="https://zakupki.gov.ru/epz/ktru/ktruCard/ktru-description.html?itemId=71879&amp;backUrl=" TargetMode="External"/><Relationship Id="rId4" Type="http://schemas.openxmlformats.org/officeDocument/2006/relationships/hyperlink" Target="https://zakupki.gov.ru/epz/ktru/ktruCard/ktru-description.html?itemId=71829&amp;backUr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2023-09-14T07:30:00Z</dcterms:created>
  <dcterms:modified xsi:type="dcterms:W3CDTF">2023-09-14T07:30:00Z</dcterms:modified>
</cp:coreProperties>
</file>